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softHyphen/>
        <w:t>perties of big data are outlined with classification of spatial big data types. The thesis then searches how to address the problem of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 xml:space="preserve">1 Defining </w:t>
            </w:r>
            <w:r>
              <w:rPr>
                <w:rStyle w:val="IndexLink"/>
                <w:rFonts w:ascii="Fira Sans" w:hAnsi="Fira Sans"/>
                <w:b/>
                <w:bCs/>
                <w:sz w:val="20"/>
                <w:szCs w:val="20"/>
              </w:rPr>
              <w:t>b</w:t>
            </w:r>
            <w:r>
              <w:rPr>
                <w:rStyle w:val="IndexLink"/>
                <w:rFonts w:ascii="Fira Sans" w:hAnsi="Fira Sans"/>
                <w:b/>
                <w:bCs/>
                <w:sz w:val="20"/>
                <w:szCs w:val="20"/>
              </w:rPr>
              <w:t xml:space="preserve">ig </w:t>
            </w:r>
            <w:r>
              <w:rPr>
                <w:rStyle w:val="IndexLink"/>
                <w:rFonts w:ascii="Fira Sans" w:hAnsi="Fira Sans"/>
                <w:b/>
                <w:bCs/>
                <w:sz w:val="20"/>
                <w:szCs w:val="20"/>
              </w:rPr>
              <w:t>d</w:t>
            </w:r>
            <w:r>
              <w:rPr>
                <w:rStyle w:val="IndexLink"/>
                <w:rFonts w:ascii="Fira Sans" w:hAnsi="Fira Sans"/>
                <w:b/>
                <w:bCs/>
                <w:sz w:val="20"/>
                <w:szCs w:val="20"/>
              </w:rPr>
              <w:t>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w:t>
            </w:r>
          </w:hyperlink>
          <w:r>
            <w:rPr>
              <w:rFonts w:ascii="Fira Sans" w:hAnsi="Fira Sans"/>
              <w:sz w:val="20"/>
              <w:szCs w:val="20"/>
            </w:rPr>
            <w:t>1</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w:t>
            </w:r>
          </w:hyperlink>
          <w:r>
            <w:rPr>
              <w:rFonts w:ascii="Fira Sans" w:hAnsi="Fira Sans"/>
              <w:sz w:val="20"/>
              <w:szCs w:val="20"/>
            </w:rPr>
            <w:t>1</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3</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4</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softHyphen/>
        <w:t>ges of data processing, data analysis, choice of cartographic visualization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tivation was to channel the author’s longtime interest in cartographic visualization and to summarize his practical experience with 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will continue to have a growing influence and will gradually transfer digital map</w:t>
        <w:softHyphen/>
        <w:t>making to new realities. Scientists and practitioners in fields of 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1"/>
        </w:numPr>
        <w:rPr/>
      </w:pPr>
      <w:r>
        <w:rPr/>
        <w:t>Changes in the characteristics of mapped data</w:t>
      </w:r>
    </w:p>
    <w:p>
      <w:pPr>
        <w:pStyle w:val="Compact"/>
        <w:numPr>
          <w:ilvl w:val="0"/>
          <w:numId w:val="132"/>
        </w:numPr>
        <w:rPr/>
      </w:pPr>
      <w:r>
        <w:rPr/>
        <w:t>Changes in how maps are distributed over the network</w:t>
      </w:r>
    </w:p>
    <w:p>
      <w:pPr>
        <w:pStyle w:val="Compact"/>
        <w:numPr>
          <w:ilvl w:val="0"/>
          <w:numId w:val="133"/>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the notion of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bination of WebGL and vector tiles enables cartographic visualization as well as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meters of urban quality of life. Two modes of cartographic visualization based on 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 xml:space="preserve">1 Defining </w:t>
      </w:r>
      <w:r>
        <w:rPr/>
        <w:t>b</w:t>
      </w:r>
      <w:r>
        <w:rPr/>
        <w:t xml:space="preserve">ig </w:t>
      </w:r>
      <w:r>
        <w:rPr/>
        <w:t>d</w:t>
      </w:r>
      <w:r>
        <w:rPr/>
        <w:t>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—can be measured in storage requirements (terabytes or petabytes) or in 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In relation to these characteristics it is important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softHyphen/>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softHyphen/>
        <w:t>meters, some might be merged (resolution is a consequence of exhaustivity, indexicality enables relationality) or dis</w:t>
        <w:softHyphen/>
        <w:t>carded (extensionality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fist used in context of dealing with massive data sets in 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softHyphen/>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A very common description of big data goes along the lines of “I will give you some numbers and you will get what I mean”. Such writing may not provide an exact under</w:t>
        <w:softHyphen/>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softHyphen/>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rFonts w:eastAsia="" w:cs="" w:cstheme="majorBidi" w:eastAsiaTheme="majorEastAsia"/>
          <w:b w:val="false"/>
          <w:b w:val="false"/>
          <w:bCs/>
          <w:caps w:val="false"/>
          <w:smallCaps w:val="false"/>
          <w:color w:val="00000A" w:themeShade="b5"/>
          <w:sz w:val="30"/>
          <w:szCs w:val="36"/>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mind that apart from all the promise, big data also have the potential to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4"/>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5"/>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softHyphen/>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cated data due to 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For example, quoting Mayer-Schönberger &amp; Cukier (2013): “Data was no longer regarded as static or stale, whose usefulness was finished once he purpose for which it was collected was achieved […]. Rather, data became a raw ma</w:t>
        <w:softHyphen/>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notations. For example Manyika et al. (2013) argue for unlocking data sources to become “liquid” in a sense of open and free-flowing, while keeping privacy concerns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—distributed, sql or nosql databases</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reenforcement machine learning</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5"/>
        </w:numPr>
        <w:jc w:val="left"/>
        <w:rPr>
          <w:rFonts w:eastAsia="" w:cs="" w:cstheme="majorBidi" w:eastAsiaTheme="majorEastAsia"/>
          <w:b w:val="false"/>
          <w:b w:val="false"/>
          <w:bCs/>
          <w:caps w:val="false"/>
          <w:smallCaps w:val="false"/>
          <w:color w:val="00000A" w:themeShade="b5"/>
          <w:sz w:val="30"/>
          <w:szCs w:val="36"/>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6"/>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7"/>
        </w:numPr>
        <w:rPr>
          <w:rFonts w:eastAsia="" w:cs="" w:cstheme="majorBidi" w:eastAsiaTheme="majorEastAsia"/>
          <w:b w:val="false"/>
          <w:b w:val="false"/>
          <w:bCs/>
          <w:caps w:val="false"/>
          <w:smallCaps w:val="false"/>
          <w:color w:val="00000A" w:themeShade="b5"/>
          <w:sz w:val="30"/>
          <w:szCs w:val="36"/>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150"/>
        </w:numPr>
        <w:rPr>
          <w:rFonts w:eastAsia="" w:cs="" w:cstheme="majorBidi" w:eastAsiaTheme="majorEastAsia"/>
          <w:b w:val="false"/>
          <w:b w:val="false"/>
          <w:bCs/>
          <w:caps w:val="false"/>
          <w:smallCaps w:val="false"/>
          <w:color w:val="00000A" w:themeShade="b5"/>
          <w:sz w:val="30"/>
          <w:szCs w:val="36"/>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1"/>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2"/>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official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the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The scientific reflection of big data revolves around the question if the advances in data acquisition change the definition of knowledge. The anticipated mindset changes voiced in Mayer-Schönberger &amp; Cukier (2013) can be sum</w:t>
        <w:softHyphen/>
        <w:t>marized into the following points:</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t>Reduced need for sampling with accessibility of n=all data sets</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Claims about 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The aforementioned discussions highlight the lock-step evolution of science and technology, and the strong re</w:t>
        <w:softHyphen/>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rFonts w:eastAsia="" w:cs="" w:cstheme="majorBidi" w:eastAsiaTheme="majorEastAsia"/>
          <w:b w:val="false"/>
          <w:b w:val="false"/>
          <w:bCs/>
          <w:caps w:val="false"/>
          <w:smallCaps w:val="false"/>
          <w:color w:val="00000A" w:themeShade="b5"/>
          <w:sz w:val="30"/>
          <w:szCs w:val="36"/>
        </w:rPr>
      </w:pPr>
      <w:r>
        <w:rPr/>
        <w:t>Social media are a platform that apart from positive effects also created unexpected avenues for illicit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softHyphen/>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softHyphen/>
        <w:t>ated and handled by non-spatial (meaning not GIS-enabled) systems that account for 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softHyphen/>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visualization point of view, there are two kinds of challenges 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If we imagine a continuum ranging from work done purely in 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softHyphen/>
        <w:t>tinction shouldn’t be taken as something rigid. Cartogra</w:t>
        <w:softHyphen/>
        <w:t xml:space="preserve">phy provides an interface at the human side. Some authors go on to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conceptualize than it is with polygonal features. Egenhofer &amp; Franzosa (1991) describe 16 types of spatial relations (9 if reduced to spatial regions relevant in GIS) in two-dimen</w:t>
        <w:softHyphen/>
        <w:t>sional space. However, in their approach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softHyphen/>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softHyphen/>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softHyphen/>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This is truly a long way from the low-level search for co-occurrences, though it is not 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softHyphen/>
        <w:t>cesses can be both cumbersome and simplistic. Further</w:t>
        <w:softHyphen/>
        <w:t>more, the co-occurrence we want to search for needs to be defined beforehand, so in many cases data mining is insufficient to provide the required insight. Search algo</w:t>
        <w:softHyphen/>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definitness.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form the legend (es</w:t>
        <w:softHyphen/>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It is obvious that even a simple map has 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successfully supporting the analytical reasoning? Maybe the most frequent answer to this question would be the cele</w:t>
        <w:softHyphen/>
        <w:t>brated map of the cholera outbreak in London 1855 by John Snow that helped to identify the source of the epidemics in a polluted water pump. This feat is lauded for launching spatial epidemiology and for bringing the thematic carto</w:t>
        <w:softHyphen/>
        <w:t>graphy to the fore (Clarke &amp; Pickles, 2015). But what exactly made the Snow’s method worth following? Tufte et al. (1998) note four features:</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t>Placing data in appropriate context for assessing cause and effect</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something that is represented in data.</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 being done with the data such as compare, identify, characterize, etc.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tary level, pattern descriptions on the global level. There is much we can do to quantify the pattern descriptions using GIS tools and geostatistics and we can observe spatial cor</w:t>
        <w:softHyphen/>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tions and comparison of various scenarios. As we have seen, the types of analysis that maps support is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Web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ters to “solve” high point densities are just the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softHyphen/>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limitations that are not imaginary, like data interoperability issues and vendor lock-ins. The skill sets needed for data analysis, desktop GIS operation and web development seem to be painfully de</w:t>
        <w:softHyphen/>
        <w:t>tached. But all the problems apart, a good mental exercise for cartographers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thods is completed. User interaction and increasing data load pose new challenges to cartographic visualization, with opportunities for creative inclusion and 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 to the data at hand. The practice becomes increasingly about designing user inter</w:t>
        <w:softHyphen/>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softHyphen/>
        <w:t>graphy. What is more, the challenges of high data density affect both map intra-composition (more data in the map) as well as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The IT industry is witnessing raising prominence of UX (user experience) design. This discipline could provide some inspi</w:t>
        <w:softHyphen/>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softHyphen/>
        <w:t>pered by mental roadblocks we don’t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Having described the ontological models of causation as well as 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There is a (somewhat mythical) notion of “full-stack”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90"/>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91"/>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form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ded for general public can leave users overwhelmed with the amount of possible interaction points. Left to their own devices and without any stated framework for interpre</w:t>
        <w:softHyphen/>
        <w:t>tation, users need to create their own narration about what is displayed. Visual interfaces are prone to be terrifyingly cluttered, untroubled with dangers of fostering misinter</w:t>
        <w:softHyphen/>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softHyphen/>
        <w:t>tween “I don’t know” and “I know”). Note that the “I know” zone doesn’t need to correspond to reality—exploring fiction</w:t>
        <w:softHyphen/>
        <w:t>al worlds, gossips or conspiracy theories triggers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Data visualization is seen as a great tool for achieving a desirable goal in literature, this thesis included. We can though imagine possible objections to some naive ex</w:t>
        <w:softHyphen/>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creased transmissibility, leading to exponential increase in confirmed cases soon afterwards). Visualization based on a bad model then acts as an accomplice, no matter how well crafted it is.</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softHyphen/>
        <w:t>nents may be hazy or even arbitrarily imposed by research</w:t>
        <w:softHyphen/>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softHyphen/>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softHyphen/>
        <w:t>resting challenge for visualization community and for cartographers as well.</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rPr>
        <w:t>non-predictive</w:t>
      </w:r>
      <w:r>
        <w:rPr/>
        <w:t xml:space="preserve"> approach that aims more at risk evaluation and moderating exposure to the possible harm coming from unprecedented events. In re</w:t>
        <w:softHyphen/>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softHyphen/>
        <w:t>estimate the role of chance in events, we tend to assume causality between events that just happen to occur at the same time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the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That being said, acknowledging the cognitive biases in the visualization design process is definitely the right way to go. Visualization designers have often 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 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One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softHyphen/>
        <w:t>lization, the graphic density is largely determined by constraints that cannot be influenced by the mapmaker. In the next section we will look closer on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softHyphen/>
        <w:t>zation to the most recent version, appropriately notify the user of important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92"/>
        </w:numPr>
        <w:rPr>
          <w:rFonts w:eastAsia="" w:cs="" w:cstheme="majorBidi" w:eastAsiaTheme="majorEastAsia"/>
          <w:b w:val="false"/>
          <w:b w:val="false"/>
          <w:bCs/>
          <w:caps w:val="false"/>
          <w:smallCaps w:val="false"/>
          <w:color w:val="00000A" w:themeShade="b5"/>
          <w:sz w:val="30"/>
          <w:szCs w:val="36"/>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93"/>
        </w:numPr>
        <w:rPr>
          <w:rFonts w:eastAsia="" w:cs="" w:cstheme="majorBidi" w:eastAsiaTheme="majorEastAsia"/>
          <w:b w:val="false"/>
          <w:b w:val="false"/>
          <w:bCs/>
          <w:caps w:val="false"/>
          <w:smallCaps w:val="false"/>
          <w:color w:val="00000A" w:themeShade="b5"/>
          <w:sz w:val="30"/>
          <w:szCs w:val="36"/>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rFonts w:eastAsia="" w:cs="" w:cstheme="majorBidi" w:eastAsiaTheme="majorEastAsia"/>
          <w:b w:val="false"/>
          <w:b w:val="false"/>
          <w:bCs/>
          <w:caps w:val="false"/>
          <w:smallCaps w:val="false"/>
          <w:color w:val="00000A" w:themeShade="b5"/>
          <w:sz w:val="30"/>
          <w:szCs w:val="36"/>
        </w:rPr>
      </w:pPr>
      <w:r>
        <w:rPr/>
        <w:t>The fourth constraint is the axis of cartographer’s ability—for example, failure to adjust symbolization to scale changes can result in illegibility even in cases when the screen space is sufficient and the data load is moderate. Choice of sym</w:t>
        <w:softHyphen/>
        <w:t>bolization can greatly support angular an retinal separation and also battle graphic fill. The three afore</w:t>
        <w:softHyphen/>
        <w:t>mentioned axes are in fact inseparable and combined to</w:t>
        <w:softHyphen/>
        <w:t>gether they deter</w:t>
        <w:softHyphen/>
        <w:t>mine how effective will the digital map be in different situations. Delineating the space of possibilities and then designing the application’s behaviour accordingly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The axis of data change is the one that is mostly affected 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Earlier in chapter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mappings and view transformations have to cope with the design constraints described in the previous section and also with the cognitive predispositions that favor certain visual mappings and disqualify others. As we have discussed at length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may have impacts on the processes in data space, so there is a large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This can mean a significant improvement when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softHyphen/>
        <w:t>pected interaction results can all make the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cessing is needed to extract the density of point occurrence as well as 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ity presented in the map is called generalization. Within cartographic processing, generalization can occur at the level of real objects, inside the data model but also within the cartographic product (Grünreich, 1985). The model cre</w:t>
        <w:softHyphen/>
        <w:t>ated by McMaster &amp; Shea (1992) define geometric conditions that may determine the need for generalization—congestion, coalescence, conflict, complication inconsistency and imperceptibility. There are several methods of carto</w:t>
        <w:softHyphen/>
        <w:t>graphic generalization, for example the aforementi</w:t>
        <w:softHyphen/>
        <w:t>oned model recognizes simplification, smoothing, agg</w:t>
        <w:softHyphen/>
        <w:t>regation, amalgamation, merging, collapse, refinement, exaggeration, enhancement and displacement. For the pur</w:t>
        <w:softHyphen/>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lar client mapping libraries in some form, either natively, via plug-ins or by 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ber points to be processed decreases exponentially with each zoom level), it leaves little room to adjusting the outcomes—the only configurable parameter is the cluster radius. There are some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 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client 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form the cognitive point of view both in binning and clustering. Changes in spatial pattern cause a loss of orientation be</w:t>
        <w:softHyphen/>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or to point clustering for visualization of big data sets both from perceptual and technical standpoint. We also find this method more flexible and extensible from the carto</w:t>
        <w:softHyphen/>
        <w:t>graphic point of view. In the following section we will look more closely at some interesting properties of hexagonal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dependent on the character of aggregated data. Unlike other methods (cluster</w:t>
        <w:softHyphen/>
        <w:t>ing, interpolation), the referential geometry does not change with data updates, which makes the computation perfor</w:t>
        <w:softHyphen/>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When it comes to the shape of the grid cell, we can chose from three types of convex shapes that completely divide a plane into same parts: square, hexagon and triangle. The more similar the shape is to circle, the lower is the differ</w:t>
        <w:softHyphen/>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Multi-parametric cartographic visualization can also employ hexagonal grids, this time as an outline for proportional symbols, compound charts or other visual artifacts. The shape of the hexagon allows for various kinds of propor</w:t>
        <w:softHyphen/>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there is a whole range of other issues that contribute to the visual clutter in maps that cannot be easily tackled by mere aggregation. For example visual conflicts of symbology be</w:t>
        <w:softHyphen/>
        <w:t>tween map layers are nothing uncommon in thematic cartography and there are several strategies we can employ to the rescue. Digital environment makes some things easier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softHyphen/>
        <w:t>plicate the situation as new cross-layer conflicts and overlaps arise. Congested areas in one layer generally preclude seeing 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softHyphen/>
        <w:t>ment toolbox offers for showing interactive graphic infor</w:t>
        <w:softHyphen/>
        <w:t>mation. We will mostly focus on WebGL with brief descrip</w:t>
        <w:softHyphen/>
        <w:t>tion of how it governs the GPU rendering pipeline. Then we will describe how are these technologies baked into web mapping libraries.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 known and much loved format for displaying two-dimensional vector graphics on the web. Since the start of development in 1999 it has become an often used alter</w:t>
        <w:softHyphen/>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200"/>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201"/>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202"/>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203"/>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204"/>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There are four general types of software that used to manage various aspects of the vector tile life cycle:</w:t>
      </w:r>
      <w:r>
        <w:rPr>
          <w:rStyle w:val="FootnoteAnchor"/>
        </w:rPr>
        <w:footnoteReference w:id="44"/>
      </w:r>
    </w:p>
    <w:p>
      <w:pPr>
        <w:pStyle w:val="Compact"/>
        <w:numPr>
          <w:ilvl w:val="0"/>
          <w:numId w:val="205"/>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6"/>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rFonts w:eastAsia="" w:cs="" w:cstheme="majorBidi" w:eastAsiaTheme="majorEastAsia"/>
          <w:b w:val="false"/>
          <w:b w:val="false"/>
          <w:bCs/>
          <w:caps w:val="false"/>
          <w:smallCaps w:val="false"/>
          <w:color w:val="00000A" w:themeShade="b5"/>
          <w:sz w:val="30"/>
          <w:szCs w:val="36"/>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 the combination of vector tiles, WebGL-based rendering environment and capabilities of the client mapping libraries opens several possibilities:</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10"/>
        </w:numPr>
        <w:jc w:val="left"/>
        <w:rPr>
          <w:rFonts w:eastAsia="" w:cs="" w:cstheme="majorBidi" w:eastAsiaTheme="majorEastAsia"/>
          <w:b w:val="false"/>
          <w:b w:val="false"/>
          <w:bCs/>
          <w:caps w:val="false"/>
          <w:smallCaps w:val="false"/>
          <w:color w:val="00000A" w:themeShade="b5"/>
          <w:sz w:val="30"/>
          <w:szCs w:val="36"/>
        </w:rPr>
      </w:pPr>
      <w:r>
        <w:rPr/>
        <w:t>Bitmap images can be easily incorporated to the style—either as polygon textures or point symbols. Data driven styling of these bitmaps is also possible to a certain degree (Figure 29)</w:t>
      </w:r>
    </w:p>
    <w:p>
      <w:pPr>
        <w:pStyle w:val="Compact"/>
        <w:numPr>
          <w:ilvl w:val="0"/>
          <w:numId w:val="211"/>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12"/>
        </w:numPr>
        <w:jc w:val="left"/>
        <w:rPr>
          <w:rFonts w:eastAsia="" w:cs="" w:cstheme="majorBidi" w:eastAsiaTheme="majorEastAsia"/>
          <w:b w:val="false"/>
          <w:b w:val="false"/>
          <w:bCs/>
          <w:caps w:val="false"/>
          <w:smallCaps w:val="false"/>
          <w:color w:val="00000A" w:themeShade="b5"/>
          <w:sz w:val="30"/>
          <w:szCs w:val="36"/>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13"/>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14"/>
        </w:numPr>
        <w:jc w:val="left"/>
        <w:rPr>
          <w:rFonts w:eastAsia="" w:cs="" w:cstheme="majorBidi" w:eastAsiaTheme="majorEastAsia"/>
          <w:b w:val="false"/>
          <w:b w:val="false"/>
          <w:bCs/>
          <w:caps w:val="false"/>
          <w:smallCaps w:val="false"/>
          <w:color w:val="00000A" w:themeShade="b5"/>
          <w:sz w:val="30"/>
          <w:szCs w:val="36"/>
        </w:rPr>
      </w:pPr>
      <w:r>
        <w:rPr/>
        <w:t>data and scale 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rFonts w:eastAsia="" w:cs="" w:cstheme="majorBidi" w:eastAsiaTheme="majorEastAsia"/>
          <w:b w:val="false"/>
          <w:b w:val="false"/>
          <w:bCs/>
          <w:caps w:val="false"/>
          <w:smallCaps w:val="false"/>
          <w:color w:val="00000A" w:themeShade="b5"/>
          <w:sz w:val="30"/>
          <w:szCs w:val="36"/>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r>
      <w:r>
        <w:rPr/>
        <w:softHyphen/>
      </w:r>
      <w:r>
        <w:rPr/>
        <w:t>sent two experimental case studies that aim to bring these concepts and ideas together, hopefully to demonstrate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r>
      <w:r>
        <w:rPr/>
        <w:softHyphen/>
      </w:r>
      <w:r>
        <w:rPr/>
        <w:t>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 xml:space="preserve">ters and weights </w:t>
      </w:r>
      <w:r>
        <w:rPr/>
        <w:t>a</w:t>
      </w:r>
      <w:r>
        <w:rPr/>
        <w:t xml:space="preserve"> map is rendered to show areas from high to low desirability. Changes to weights and parameters are reflected in the map as the desirability surface is re</w:t>
      </w:r>
      <w:r>
        <w:rPr/>
        <w:softHyphen/>
      </w:r>
      <w:r>
        <w:rPr/>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5"/>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6"/>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20"/>
        </w:numPr>
        <w:rPr>
          <w:rFonts w:eastAsia="" w:cs="" w:cstheme="majorBidi" w:eastAsiaTheme="majorEastAsia"/>
          <w:b w:val="false"/>
          <w:b w:val="false"/>
          <w:bCs/>
          <w:caps w:val="false"/>
          <w:smallCaps w:val="false"/>
          <w:color w:val="00000A" w:themeShade="b5"/>
          <w:sz w:val="30"/>
          <w:szCs w:val="36"/>
        </w:rPr>
      </w:pPr>
      <w:r>
        <w:rPr/>
        <w:t>sport—sport grounds, gyms</w:t>
      </w:r>
    </w:p>
    <w:p>
      <w:pPr>
        <w:pStyle w:val="Compact"/>
        <w:numPr>
          <w:ilvl w:val="0"/>
          <w:numId w:val="221"/>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22"/>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23"/>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24"/>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spatial detail of these additional layers is coarser than in the previous group, especially in case of </w:t>
      </w:r>
      <w:r>
        <w:rPr/>
        <w:t>the</w:t>
      </w:r>
      <w:r>
        <w:rPr/>
        <w:t xml:space="preserve"> crime statistics </w:t>
      </w:r>
      <w:r>
        <w:rPr/>
        <w:t>layer</w:t>
      </w:r>
      <w:r>
        <w:rPr/>
        <w:t xml:space="preserve"> that w</w:t>
      </w:r>
      <w:r>
        <w:rPr/>
        <w:t>as</w:t>
      </w:r>
      <w:r>
        <w:rPr/>
        <w:t xml:space="preserve">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 xml:space="preserve">The data preparation process then continued as follows (see also Figure 31). To harmonize the varying sources into one spatial layer that would allow for dynamic re-classification, we created a point grid covering the area of Brno in 100 m </w:t>
      </w:r>
      <w:r>
        <w:rPr/>
        <w:t>spacing</w:t>
      </w:r>
      <w:r>
        <w:rPr/>
        <w:t>.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When developing digital maps, the ability to define modules that react to changes in shared state has many benefits.</w:t>
      </w:r>
      <w:r>
        <w:rPr>
          <w:rStyle w:val="FootnoteAnchor"/>
        </w:rPr>
        <w:footnoteReference w:id="52"/>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r>
      <w:r>
        <w:rPr/>
        <w:softHyphen/>
      </w:r>
      <w:r>
        <w:rPr/>
        <w:t>tainer makes it also easier to persist data in multiple-view applications, in our case: if user makes changes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r>
      <w:r>
        <w:rPr/>
        <w:softHyphen/>
      </w:r>
      <w:r>
        <w:rPr/>
        <w:t>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such a situation we are unable to adhere to the carto</w:t>
        <w:softHyphen/>
        <w:t>graphic rule that all legend items should be visible in the map field. The color scheme needs to have sufficiently versa</w:t>
      </w:r>
      <w:r>
        <w:rPr/>
        <w:softHyphen/>
      </w:r>
      <w:r>
        <w:rPr/>
        <w:t>tile hues to show the spatial pattern in different variances. All hues need to sufficiently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w:t>
      </w:r>
      <w:r>
        <w:rPr/>
        <w:softHyphen/>
      </w:r>
      <w:r>
        <w:rPr/>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 xml:space="preserve">duated symbols are available for user to compare how efficient or inefficient they are for pattern visualization at various scales. Hexagonal grid now acts more as </w:t>
      </w:r>
      <w:r>
        <w:rPr/>
        <w:t>template</w:t>
      </w:r>
      <w:r>
        <w:rPr/>
        <w:t xml:space="preserv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 xml:space="preserve">grammatically at run time. On the flip side, </w:t>
      </w:r>
      <w:r>
        <w:rPr/>
        <w:t>fill</w:t>
      </w:r>
      <w:r>
        <w:rPr/>
        <w:t xml:space="preserve">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5"/>
        </w:numPr>
        <w:rPr>
          <w:rFonts w:eastAsia="" w:cs="" w:cstheme="majorBidi" w:eastAsiaTheme="majorEastAsia"/>
          <w:b w:val="false"/>
          <w:b w:val="false"/>
          <w:bCs/>
          <w:caps w:val="false"/>
          <w:smallCaps w:val="false"/>
          <w:color w:val="00000A" w:themeShade="b5"/>
          <w:sz w:val="30"/>
          <w:szCs w:val="36"/>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6"/>
        </w:numPr>
        <w:rPr>
          <w:rFonts w:eastAsia="" w:cs="" w:cstheme="majorBidi" w:eastAsiaTheme="majorEastAsia"/>
          <w:b w:val="false"/>
          <w:b w:val="false"/>
          <w:bCs/>
          <w:caps w:val="false"/>
          <w:smallCaps w:val="false"/>
          <w:color w:val="00000A" w:themeShade="b5"/>
          <w:sz w:val="30"/>
          <w:szCs w:val="36"/>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7"/>
        </w:numPr>
        <w:rPr>
          <w:rFonts w:eastAsia="" w:cs="" w:cstheme="majorBidi" w:eastAsiaTheme="majorEastAsia"/>
          <w:b w:val="false"/>
          <w:b w:val="false"/>
          <w:bCs/>
          <w:caps w:val="false"/>
          <w:smallCaps w:val="false"/>
          <w:color w:val="00000A" w:themeShade="b5"/>
          <w:sz w:val="30"/>
          <w:szCs w:val="36"/>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In mode 2 the control panel is simpler, user can select the symbol type and enable or disable topics to be shown. Again, the check box color also acts as a legend box. Four symbol size levels are shown for each topic. This legend is built pro</w:t>
      </w:r>
      <w:r>
        <w:rPr/>
        <w:softHyphen/>
      </w:r>
      <w:r>
        <w:rPr/>
        <w:t xml:space="preserve">grammatically by coloring and rotating a small set of SVG </w:t>
      </w:r>
      <w:r>
        <w:rPr/>
        <w:t>files</w:t>
      </w:r>
      <w:r>
        <w:rPr/>
        <w:t xml:space="preserve">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w:t>
      </w:r>
      <w:r>
        <w:rPr/>
        <w:t>with</w:t>
      </w:r>
      <w:r>
        <w:rPr/>
        <w:t xml:space="preserve"> </w:t>
      </w:r>
      <w:r>
        <w:rPr/>
        <w:t xml:space="preserve">a </w:t>
      </w:r>
      <w:r>
        <w:rPr/>
        <w:t>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w:t>
      </w:r>
      <w:r>
        <w:rPr/>
        <w:t>as</w:t>
      </w:r>
      <w:r>
        <w:rPr/>
        <w:t xml:space="preserv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r>
      <w:r>
        <w:rPr/>
        <w:softHyphen/>
      </w:r>
      <w:r>
        <w:rPr/>
        <w:t xml:space="preserve">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w:t>
      </w:r>
      <w:r>
        <w:rPr/>
        <w:softHyphen/>
      </w:r>
      <w:r>
        <w:rPr/>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r>
      <w:r>
        <w:rPr/>
        <w:softHyphen/>
      </w:r>
      <w:r>
        <w:rPr/>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w:t>
      </w:r>
      <w:r>
        <w:rPr/>
        <w:softHyphen/>
      </w:r>
      <w:r>
        <w:rPr/>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 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r>
      <w:r>
        <w:rPr/>
        <w:softHyphen/>
      </w:r>
      <w:r>
        <w:rPr/>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w:t>
      </w:r>
      <w:r>
        <w:rPr/>
        <w:t>d</w:t>
      </w:r>
      <w:r>
        <w:rPr/>
        <w:t>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w:t>
      </w:r>
      <w:r>
        <w:rPr/>
        <w:t>p</w:t>
      </w:r>
      <w:r>
        <w:rPr/>
        <w:t>,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28"/>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29"/>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in both case studies, tile size limitations have a profound impact on the final digital map, be it in </w:t>
      </w:r>
      <w:r>
        <w:rPr/>
        <w:t xml:space="preserve">the </w:t>
      </w:r>
      <w:r>
        <w:rPr/>
        <w:t xml:space="preserve">length of achievable zoom range or in </w:t>
      </w:r>
      <w:r>
        <w:rPr/>
        <w:t xml:space="preserve">the </w:t>
      </w:r>
      <w:r>
        <w:rPr/>
        <w:t>smoothness of user experience. Currently the limitations can be worked around by slicing the tile layers in various ways, or by apply</w:t>
      </w:r>
      <w:r>
        <w:rPr/>
        <w:softHyphen/>
      </w:r>
      <w:r>
        <w:rPr/>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r>
      <w:r>
        <w:rPr/>
        <w:softHyphen/>
      </w:r>
      <w:r>
        <w:rPr/>
        <w:t>po</w:t>
      </w:r>
      <w:r>
        <w:rPr/>
        <w:softHyphen/>
      </w:r>
      <w:r>
        <w:rPr/>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 xml:space="preserve">cial data providers as it allows to differentiate </w:t>
      </w:r>
      <w:r>
        <w:rPr/>
        <w:t xml:space="preserve">the </w:t>
      </w:r>
      <w:r>
        <w:rPr/>
        <w:t xml:space="preserve">citizen consumers </w:t>
      </w:r>
      <w:r>
        <w:rPr/>
        <w:t xml:space="preserve">or researchers </w:t>
      </w:r>
      <w:r>
        <w:rPr/>
        <w:t xml:space="preserve">from businesses </w:t>
      </w:r>
      <w:r>
        <w:rPr/>
        <w:t>by the number of visits and set the pricing plans accordingly</w:t>
      </w:r>
      <w:r>
        <w:rPr/>
        <w:t xml:space="preserve">. Some public map providers (Ordinance Survey, swisstopo) already started to adopt the technology </w:t>
      </w:r>
      <w:r>
        <w:rPr/>
        <w:t>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 xml:space="preserve">dom to experiment with </w:t>
      </w:r>
      <w:r>
        <w:rPr/>
        <w:t>some</w:t>
      </w:r>
      <w:r>
        <w:rPr/>
        <w:t xml:space="preserv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w:t>
      </w:r>
      <w:r>
        <w:rPr/>
        <w:t xml:space="preserve">go </w:t>
      </w:r>
      <w:r>
        <w:rPr/>
        <w:t xml:space="preserve">beyond the typical UX design schemes (user personas, scenarios, etc.), yet some of the UX principles, like clear visibility of system status or recovery from mistakes (Nielsen, 2005), </w:t>
      </w:r>
      <w:r>
        <w:rPr/>
        <w:t>are universally applicable</w:t>
      </w:r>
      <w:r>
        <w:rPr/>
        <w:t xml:space="preserve"> and digital carto</w:t>
      </w:r>
      <w:r>
        <w:rPr/>
        <w:softHyphen/>
      </w:r>
      <w:r>
        <w:rPr/>
        <w:t xml:space="preserve">graphers would </w:t>
      </w:r>
      <w:r>
        <w:rPr/>
        <w:t xml:space="preserve">only </w:t>
      </w:r>
      <w:r>
        <w:rPr/>
        <w:t xml:space="preserve">benefit from knowing </w:t>
      </w:r>
      <w:r>
        <w:rPr/>
        <w:t>about</w:t>
      </w:r>
      <w:r>
        <w:rPr/>
        <w:t xml:space="preserve"> them. As we have described in Section 4.2, the features of the React lib</w:t>
        <w:softHyphen/>
        <w:t>rary make it well applicable for creating map interfaces. Moreover, there is a room for developing a set of reusable map-specific components that cannot be found in main</w:t>
      </w:r>
      <w:r>
        <w:rPr/>
        <w:softHyphen/>
      </w:r>
      <w:r>
        <w:rPr/>
        <w:t xml:space="preserve">stream component libraries (like </w:t>
      </w:r>
      <w:r>
        <w:rPr>
          <w:i/>
        </w:rPr>
        <w:t>Bootstrap</w:t>
      </w:r>
      <w:r>
        <w:rPr/>
        <w:t xml:space="preserve">, or </w:t>
      </w:r>
      <w:r>
        <w:rPr>
          <w:i/>
        </w:rPr>
        <w:t>Material Design</w:t>
      </w:r>
      <w:r>
        <w:rPr/>
        <w:t xml:space="preserve">). </w:t>
      </w:r>
      <w:r>
        <w:rPr/>
        <w:t>In general, when it comes to digital mapmaking</w:t>
      </w:r>
      <w:r>
        <w:rPr/>
        <w:t xml:space="preserve">, </w:t>
      </w:r>
      <w:r>
        <w:rPr/>
        <w:t xml:space="preserve">there </w:t>
      </w:r>
      <w:r>
        <w:rPr/>
        <w:t xml:space="preserve">are many </w:t>
      </w:r>
      <w:r>
        <w:rPr/>
        <w:t>gap</w:t>
      </w:r>
      <w:r>
        <w:rPr/>
        <w:t>s</w:t>
      </w:r>
      <w:r>
        <w:rPr/>
        <w:t xml:space="preserve"> </w:t>
      </w:r>
      <w:r>
        <w:rPr/>
        <w:t>to fill in the web development toolkit. C</w:t>
      </w:r>
      <w:r>
        <w:rPr/>
        <w:t>reating digital maps is in many aspects different form bread-and-butter web development, with specific require</w:t>
      </w:r>
      <w:r>
        <w:rPr/>
        <w:softHyphen/>
      </w:r>
      <w:r>
        <w:rPr/>
        <w:t>ments in areas like data mockin</w:t>
      </w:r>
      <w:r>
        <w:rPr/>
        <w:t>g (com</w:t>
        <w:softHyphen/>
        <w:t>plicated by the range of possible state combinations that is beyond prediction)</w:t>
      </w:r>
      <w:r>
        <w:rPr/>
        <w:t xml:space="preserve"> or automated UI testing </w:t>
      </w:r>
      <w:r>
        <w:rPr/>
        <w:t>(where browser automation engines don’t “see” what is happening in the canvas element)</w:t>
      </w:r>
      <w:r>
        <w:rPr/>
        <w: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 xml:space="preserve">cedented amounts. While data and software can be used for bad and some negative impacts will surely start to unfold, we hope to have </w:t>
      </w:r>
      <w:r>
        <w:rPr/>
        <w:t>suggested</w:t>
      </w:r>
      <w:r>
        <w:rPr/>
        <w:t xml:space="preserve">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6"/>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7"/>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58"/>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59"/>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60"/>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2"/>
    <w:family w:val="auto"/>
    <w:pitch w:val="default"/>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188</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start w:val="1"/>
      <w:numFmt w:val="decimal"/>
      <w:lvlText w:val="%1."/>
      <w:lvlJc w:val="left"/>
      <w:pPr>
        <w:tabs>
          <w:tab w:val="num" w:pos="0"/>
        </w:tabs>
        <w:ind w:left="480" w:hanging="480"/>
      </w:pPr>
      <w:r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2"/>
    <w:lvlOverride w:ilvl="0">
      <w:startOverride w:val="1"/>
    </w:lvlOverride>
  </w:num>
  <w:num w:numId="132">
    <w:abstractNumId w:val="2"/>
  </w:num>
  <w:num w:numId="133">
    <w:abstractNumId w:val="2"/>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2"/>
    <w:lvlOverride w:ilvl="0">
      <w:lvl w:ilvl="0">
        <w:start w:val="1"/>
        <w:numFmt w:val="decimal"/>
        <w:lvlText w:val="%1."/>
        <w:lvlJc w:val="left"/>
        <w:pPr>
          <w:tabs>
            <w:tab w:val="num" w:pos="0"/>
          </w:tabs>
          <w:ind w:left="480" w:hanging="480"/>
        </w:pPr>
        <w:rPr/>
      </w:lvl>
      <w:startOverride w:val="1"/>
    </w:lvlOverride>
  </w:num>
  <w:num w:numId="193">
    <w:abstractNumId w:val="2"/>
  </w:num>
  <w:num w:numId="194">
    <w:abstractNumId w:val="2"/>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502</TotalTime>
  <Application>LibreOffice/7.0.6.2$Linux_X86_64 LibreOffice_project/00$Build-2</Application>
  <AppVersion>15.0000</AppVersion>
  <Pages>188</Pages>
  <Words>44769</Words>
  <Characters>246099</Characters>
  <CharactersWithSpaces>289661</CharactersWithSpaces>
  <Paragraphs>997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2021-09-10T23:35:28Z</dcterms:modified>
  <cp:revision>95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